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DE" w:rsidRDefault="00153500">
      <w:pPr>
        <w:pStyle w:val="Standard"/>
        <w:tabs>
          <w:tab w:val="left" w:pos="4536"/>
        </w:tabs>
        <w:spacing w:after="0" w:line="100" w:lineRule="atLeast"/>
        <w:ind w:left="2268"/>
        <w:jc w:val="center"/>
      </w:pPr>
      <w:bookmarkStart w:id="0" w:name="_GoBack"/>
      <w:bookmarkEnd w:id="0"/>
      <w:r>
        <w:rPr>
          <w:b/>
          <w:noProof/>
          <w:szCs w:val="20"/>
          <w:lang w:eastAsia="fr-FR"/>
        </w:rPr>
        <w:drawing>
          <wp:anchor distT="0" distB="0" distL="0" distR="0" simplePos="0" relativeHeight="251658240" behindDoc="1" locked="0" layoutInCell="1" allowOverlap="1">
            <wp:simplePos x="0" y="0"/>
            <wp:positionH relativeFrom="character">
              <wp:posOffset>0</wp:posOffset>
            </wp:positionH>
            <wp:positionV relativeFrom="line">
              <wp:posOffset>0</wp:posOffset>
            </wp:positionV>
            <wp:extent cx="1527175" cy="1165860"/>
            <wp:effectExtent l="0" t="0" r="0" b="0"/>
            <wp:wrapNone/>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1527175" cy="1165860"/>
                    </a:xfrm>
                    <a:prstGeom prst="rect">
                      <a:avLst/>
                    </a:prstGeom>
                    <a:noFill/>
                    <a:ln w="9525">
                      <a:noFill/>
                      <a:miter lim="800000"/>
                      <a:headEnd/>
                      <a:tailEnd/>
                    </a:ln>
                  </pic:spPr>
                </pic:pic>
              </a:graphicData>
            </a:graphic>
          </wp:anchor>
        </w:drawing>
      </w:r>
    </w:p>
    <w:p w:rsidR="001C0ADE" w:rsidRDefault="001C0ADE">
      <w:pPr>
        <w:pStyle w:val="Standard"/>
        <w:tabs>
          <w:tab w:val="left" w:pos="4536"/>
        </w:tabs>
        <w:spacing w:after="0" w:line="100" w:lineRule="atLeast"/>
        <w:ind w:left="2268"/>
        <w:jc w:val="center"/>
      </w:pPr>
    </w:p>
    <w:p w:rsidR="001C0ADE" w:rsidRDefault="00153500">
      <w:pPr>
        <w:pStyle w:val="Standard"/>
        <w:tabs>
          <w:tab w:val="left" w:pos="4536"/>
        </w:tabs>
        <w:spacing w:after="0" w:line="100" w:lineRule="atLeast"/>
        <w:ind w:left="2268"/>
        <w:jc w:val="center"/>
      </w:pPr>
      <w:r>
        <w:rPr>
          <w:b/>
          <w:szCs w:val="20"/>
        </w:rPr>
        <w:t>ANNEXE P</w:t>
      </w:r>
      <w:r>
        <w:rPr>
          <w:rFonts w:cs="Arial"/>
          <w:b/>
          <w:szCs w:val="20"/>
        </w:rPr>
        <w:t>É</w:t>
      </w:r>
      <w:r>
        <w:rPr>
          <w:b/>
          <w:szCs w:val="20"/>
        </w:rPr>
        <w:t>DAGOGIQUE SP</w:t>
      </w:r>
      <w:r>
        <w:rPr>
          <w:rFonts w:cs="Arial"/>
          <w:b/>
          <w:szCs w:val="20"/>
        </w:rPr>
        <w:t>É</w:t>
      </w:r>
      <w:r>
        <w:rPr>
          <w:b/>
          <w:szCs w:val="20"/>
        </w:rPr>
        <w:t xml:space="preserve">CIFIQUE </w:t>
      </w:r>
    </w:p>
    <w:p w:rsidR="001C0ADE" w:rsidRDefault="00153500">
      <w:pPr>
        <w:pStyle w:val="Standard"/>
        <w:tabs>
          <w:tab w:val="left" w:pos="4536"/>
        </w:tabs>
        <w:spacing w:after="0" w:line="100" w:lineRule="atLeast"/>
        <w:ind w:left="2268"/>
        <w:jc w:val="center"/>
      </w:pPr>
      <w:r>
        <w:rPr>
          <w:b/>
          <w:szCs w:val="20"/>
        </w:rPr>
        <w:t>A LA MISE EN PLACE DE LA MOBILIT</w:t>
      </w:r>
      <w:r>
        <w:rPr>
          <w:rFonts w:cs="Arial"/>
          <w:b/>
          <w:szCs w:val="20"/>
        </w:rPr>
        <w:t>É</w:t>
      </w:r>
      <w:r>
        <w:rPr>
          <w:b/>
          <w:szCs w:val="20"/>
        </w:rPr>
        <w:t xml:space="preserve"> A L’</w:t>
      </w:r>
      <w:r>
        <w:rPr>
          <w:rFonts w:cs="Arial"/>
          <w:b/>
          <w:szCs w:val="20"/>
        </w:rPr>
        <w:t>É</w:t>
      </w:r>
      <w:r>
        <w:rPr>
          <w:b/>
          <w:szCs w:val="20"/>
        </w:rPr>
        <w:t xml:space="preserve">TRANGER </w:t>
      </w:r>
    </w:p>
    <w:p w:rsidR="001C0ADE" w:rsidRDefault="00153500">
      <w:pPr>
        <w:pStyle w:val="Standard"/>
        <w:tabs>
          <w:tab w:val="left" w:pos="4536"/>
        </w:tabs>
        <w:spacing w:after="0" w:line="100" w:lineRule="atLeast"/>
        <w:ind w:left="2268"/>
        <w:jc w:val="center"/>
      </w:pPr>
      <w:r>
        <w:rPr>
          <w:b/>
          <w:szCs w:val="20"/>
        </w:rPr>
        <w:t>DANS LE CADRE DE L’UNIT</w:t>
      </w:r>
      <w:r>
        <w:rPr>
          <w:rFonts w:cs="Arial"/>
          <w:b/>
          <w:szCs w:val="20"/>
        </w:rPr>
        <w:t>É</w:t>
      </w:r>
      <w:r>
        <w:rPr>
          <w:b/>
          <w:szCs w:val="20"/>
        </w:rPr>
        <w:t xml:space="preserve"> FACULTATIVE DE MOBILIT</w:t>
      </w:r>
      <w:r>
        <w:rPr>
          <w:rFonts w:cs="Arial"/>
          <w:b/>
          <w:szCs w:val="20"/>
        </w:rPr>
        <w:t>É</w:t>
      </w:r>
    </w:p>
    <w:p w:rsidR="001C0ADE" w:rsidRDefault="001C0ADE">
      <w:pPr>
        <w:pStyle w:val="Standard"/>
      </w:pPr>
    </w:p>
    <w:p w:rsidR="001C0ADE" w:rsidRDefault="00153500">
      <w:pPr>
        <w:pStyle w:val="Standard"/>
        <w:spacing w:after="0" w:line="100" w:lineRule="atLeast"/>
      </w:pPr>
      <w:r>
        <w:rPr>
          <w:b/>
          <w:sz w:val="20"/>
          <w:szCs w:val="20"/>
        </w:rPr>
        <w:t>I - LES ENJEUX DE LA MOBILIT</w:t>
      </w:r>
      <w:r>
        <w:rPr>
          <w:rFonts w:cs="Arial"/>
          <w:b/>
          <w:sz w:val="20"/>
          <w:szCs w:val="20"/>
        </w:rPr>
        <w:t>É</w:t>
      </w:r>
    </w:p>
    <w:p w:rsidR="001C0ADE" w:rsidRDefault="001C0ADE">
      <w:pPr>
        <w:pStyle w:val="Standard"/>
        <w:spacing w:after="0" w:line="100" w:lineRule="atLeast"/>
      </w:pPr>
    </w:p>
    <w:p w:rsidR="001C0ADE" w:rsidRDefault="00153500">
      <w:pPr>
        <w:pStyle w:val="Paragraphedeliste"/>
        <w:numPr>
          <w:ilvl w:val="0"/>
          <w:numId w:val="2"/>
        </w:numPr>
        <w:spacing w:after="0" w:line="100" w:lineRule="atLeast"/>
        <w:ind w:left="714" w:hanging="357"/>
        <w:jc w:val="both"/>
      </w:pPr>
      <w:r>
        <w:rPr>
          <w:sz w:val="20"/>
          <w:szCs w:val="20"/>
        </w:rPr>
        <w:t>Capacité à s’adapter à un contexte particulier.</w:t>
      </w:r>
    </w:p>
    <w:p w:rsidR="001C0ADE" w:rsidRDefault="001C0ADE">
      <w:pPr>
        <w:pStyle w:val="Paragraphedeliste"/>
        <w:spacing w:after="0" w:line="100" w:lineRule="atLeast"/>
        <w:ind w:left="714"/>
        <w:jc w:val="both"/>
      </w:pPr>
    </w:p>
    <w:p w:rsidR="001C0ADE" w:rsidRDefault="00153500">
      <w:pPr>
        <w:pStyle w:val="Paragraphedeliste"/>
        <w:numPr>
          <w:ilvl w:val="0"/>
          <w:numId w:val="2"/>
        </w:numPr>
        <w:spacing w:after="0" w:line="100" w:lineRule="atLeast"/>
        <w:ind w:left="714" w:hanging="357"/>
        <w:jc w:val="both"/>
      </w:pPr>
      <w:r>
        <w:rPr>
          <w:sz w:val="20"/>
          <w:szCs w:val="20"/>
        </w:rPr>
        <w:t>Capacité à comparer le monde professionnel étranger (contexte et activités) et le monde professionnel français.</w:t>
      </w:r>
    </w:p>
    <w:p w:rsidR="001C0ADE" w:rsidRDefault="001C0ADE">
      <w:pPr>
        <w:pStyle w:val="Paragraphedeliste"/>
        <w:spacing w:after="0" w:line="100" w:lineRule="atLeast"/>
        <w:ind w:left="714"/>
        <w:jc w:val="both"/>
      </w:pPr>
    </w:p>
    <w:p w:rsidR="001C0ADE" w:rsidRDefault="00153500">
      <w:pPr>
        <w:pStyle w:val="Paragraphedeliste"/>
        <w:numPr>
          <w:ilvl w:val="0"/>
          <w:numId w:val="2"/>
        </w:numPr>
        <w:spacing w:after="0" w:line="100" w:lineRule="atLeast"/>
        <w:ind w:left="714" w:hanging="357"/>
        <w:jc w:val="both"/>
      </w:pPr>
      <w:r>
        <w:rPr>
          <w:sz w:val="20"/>
          <w:szCs w:val="20"/>
        </w:rPr>
        <w:t>Capacité à comparer les aspects culturels étrangers et français.</w:t>
      </w:r>
    </w:p>
    <w:p w:rsidR="001C0ADE" w:rsidRDefault="001C0ADE">
      <w:pPr>
        <w:pStyle w:val="Standard"/>
        <w:spacing w:after="0" w:line="100" w:lineRule="atLeast"/>
        <w:jc w:val="both"/>
      </w:pPr>
    </w:p>
    <w:p w:rsidR="001C0ADE" w:rsidRDefault="00153500">
      <w:pPr>
        <w:pStyle w:val="Paragraphedeliste"/>
        <w:numPr>
          <w:ilvl w:val="0"/>
          <w:numId w:val="2"/>
        </w:numPr>
        <w:spacing w:after="0" w:line="100" w:lineRule="atLeast"/>
        <w:ind w:left="714" w:hanging="357"/>
        <w:jc w:val="both"/>
      </w:pPr>
      <w:r>
        <w:rPr>
          <w:sz w:val="20"/>
          <w:szCs w:val="20"/>
        </w:rPr>
        <w:t>Capacité à prendre du recul sur l’expérience vécue à l’étranger.</w:t>
      </w:r>
    </w:p>
    <w:p w:rsidR="001C0ADE" w:rsidRDefault="001C0ADE">
      <w:pPr>
        <w:pStyle w:val="Paragraphedeliste"/>
        <w:spacing w:after="0" w:line="100" w:lineRule="atLeast"/>
        <w:ind w:left="714"/>
        <w:jc w:val="both"/>
      </w:pPr>
    </w:p>
    <w:p w:rsidR="001C0ADE" w:rsidRDefault="001C0ADE">
      <w:pPr>
        <w:pStyle w:val="Standard"/>
        <w:spacing w:after="0" w:line="100" w:lineRule="atLeast"/>
        <w:jc w:val="both"/>
      </w:pPr>
    </w:p>
    <w:p w:rsidR="001C0ADE" w:rsidRDefault="00153500">
      <w:pPr>
        <w:pStyle w:val="Standard"/>
        <w:spacing w:after="0" w:line="100" w:lineRule="atLeast"/>
        <w:jc w:val="both"/>
      </w:pPr>
      <w:r>
        <w:rPr>
          <w:b/>
          <w:sz w:val="20"/>
          <w:szCs w:val="20"/>
        </w:rPr>
        <w:t>II - ACCOMPAGNEMENT PÉDAGOGIQUE</w:t>
      </w:r>
    </w:p>
    <w:p w:rsidR="001C0ADE" w:rsidRDefault="001C0ADE">
      <w:pPr>
        <w:pStyle w:val="Standard"/>
        <w:spacing w:after="0" w:line="100" w:lineRule="atLeast"/>
        <w:jc w:val="both"/>
      </w:pPr>
    </w:p>
    <w:p w:rsidR="001C0ADE" w:rsidRDefault="00153500">
      <w:pPr>
        <w:pStyle w:val="Standard"/>
        <w:tabs>
          <w:tab w:val="left" w:pos="0"/>
        </w:tabs>
        <w:spacing w:after="0" w:line="100" w:lineRule="atLeast"/>
        <w:jc w:val="both"/>
      </w:pPr>
      <w:r>
        <w:rPr>
          <w:b/>
          <w:sz w:val="20"/>
          <w:szCs w:val="20"/>
        </w:rPr>
        <w:t>A - Aspect culturel et linguistique</w:t>
      </w:r>
    </w:p>
    <w:p w:rsidR="001C0ADE" w:rsidRDefault="001C0ADE">
      <w:pPr>
        <w:pStyle w:val="Standard"/>
        <w:tabs>
          <w:tab w:val="left" w:pos="0"/>
        </w:tabs>
        <w:spacing w:after="0" w:line="100" w:lineRule="atLeast"/>
        <w:jc w:val="both"/>
      </w:pPr>
    </w:p>
    <w:p w:rsidR="001C0ADE" w:rsidRDefault="00153500">
      <w:pPr>
        <w:pStyle w:val="Paragraphedeliste"/>
        <w:numPr>
          <w:ilvl w:val="0"/>
          <w:numId w:val="1"/>
        </w:numPr>
        <w:spacing w:after="0" w:line="100" w:lineRule="atLeast"/>
        <w:jc w:val="both"/>
      </w:pPr>
      <w:r>
        <w:rPr>
          <w:sz w:val="20"/>
          <w:szCs w:val="20"/>
        </w:rPr>
        <w:t>Préparation culturelle relative au pays d’accueil : recherche d’informations sur le pays, constitution d’un dossier culturel (coutumes, aspects géographiques et historiques…), travail sur les conversions (monnaie, poids, mesure….), jumelage électronique (</w:t>
      </w:r>
      <w:proofErr w:type="spellStart"/>
      <w:r>
        <w:rPr>
          <w:sz w:val="20"/>
          <w:szCs w:val="20"/>
        </w:rPr>
        <w:t>eTwinning</w:t>
      </w:r>
      <w:proofErr w:type="spellEnd"/>
      <w:r>
        <w:rPr>
          <w:sz w:val="20"/>
          <w:szCs w:val="20"/>
        </w:rPr>
        <w:t xml:space="preserve"> +).</w:t>
      </w:r>
    </w:p>
    <w:p w:rsidR="001C0ADE" w:rsidRDefault="001C0ADE">
      <w:pPr>
        <w:pStyle w:val="Paragraphedeliste"/>
        <w:spacing w:after="0" w:line="100" w:lineRule="atLeast"/>
        <w:jc w:val="both"/>
      </w:pPr>
    </w:p>
    <w:p w:rsidR="001C0ADE" w:rsidRDefault="00153500">
      <w:pPr>
        <w:pStyle w:val="Paragraphedeliste"/>
        <w:numPr>
          <w:ilvl w:val="0"/>
          <w:numId w:val="1"/>
        </w:numPr>
        <w:spacing w:after="0" w:line="100" w:lineRule="atLeast"/>
        <w:jc w:val="both"/>
      </w:pPr>
      <w:r>
        <w:rPr>
          <w:sz w:val="20"/>
          <w:szCs w:val="20"/>
        </w:rPr>
        <w:t>Création d’un journal de bord : lors de la mobilité, les élèves complètent un journal de bord qui présente des éléments culturels identifiés dans la phase de préparation.</w:t>
      </w:r>
    </w:p>
    <w:p w:rsidR="001C0ADE" w:rsidRDefault="001C0ADE">
      <w:pPr>
        <w:pStyle w:val="Paragraphedeliste"/>
        <w:spacing w:after="0"/>
      </w:pPr>
    </w:p>
    <w:p w:rsidR="001C0ADE" w:rsidRDefault="00153500">
      <w:pPr>
        <w:pStyle w:val="Paragraphedeliste"/>
        <w:numPr>
          <w:ilvl w:val="0"/>
          <w:numId w:val="1"/>
        </w:numPr>
        <w:spacing w:after="0" w:line="100" w:lineRule="atLeast"/>
        <w:jc w:val="both"/>
      </w:pPr>
      <w:r>
        <w:rPr>
          <w:sz w:val="20"/>
          <w:szCs w:val="20"/>
        </w:rPr>
        <w:t>Élaboration d’un lexique de survie.</w:t>
      </w:r>
    </w:p>
    <w:p w:rsidR="001C0ADE" w:rsidRDefault="001C0ADE">
      <w:pPr>
        <w:pStyle w:val="Paragraphedeliste"/>
        <w:spacing w:after="0" w:line="100" w:lineRule="atLeast"/>
        <w:jc w:val="both"/>
      </w:pPr>
    </w:p>
    <w:p w:rsidR="001C0ADE" w:rsidRDefault="00153500">
      <w:pPr>
        <w:pStyle w:val="Paragraphedeliste"/>
        <w:numPr>
          <w:ilvl w:val="0"/>
          <w:numId w:val="1"/>
        </w:numPr>
        <w:spacing w:after="0" w:line="100" w:lineRule="atLeast"/>
        <w:jc w:val="both"/>
      </w:pPr>
      <w:r>
        <w:rPr>
          <w:sz w:val="20"/>
          <w:szCs w:val="20"/>
        </w:rPr>
        <w:t>Sensibilisation à la langue et à la culture du pays d’accueil par le biais de l’assistant de langue.</w:t>
      </w:r>
    </w:p>
    <w:p w:rsidR="001C0ADE" w:rsidRDefault="001C0ADE">
      <w:pPr>
        <w:pStyle w:val="Paragraphedeliste"/>
        <w:spacing w:after="0" w:line="100" w:lineRule="atLeast"/>
        <w:jc w:val="both"/>
      </w:pPr>
    </w:p>
    <w:p w:rsidR="001C0ADE" w:rsidRDefault="001C0ADE">
      <w:pPr>
        <w:pStyle w:val="Standard"/>
        <w:spacing w:after="0" w:line="100" w:lineRule="atLeast"/>
        <w:jc w:val="both"/>
      </w:pPr>
    </w:p>
    <w:p w:rsidR="001C0ADE" w:rsidRDefault="00153500">
      <w:pPr>
        <w:pStyle w:val="Standard"/>
        <w:spacing w:after="0" w:line="100" w:lineRule="atLeast"/>
        <w:jc w:val="both"/>
      </w:pPr>
      <w:r>
        <w:rPr>
          <w:b/>
          <w:sz w:val="20"/>
          <w:szCs w:val="20"/>
        </w:rPr>
        <w:t>B – Aspect professionnel</w:t>
      </w:r>
    </w:p>
    <w:p w:rsidR="001C0ADE" w:rsidRDefault="001C0ADE">
      <w:pPr>
        <w:pStyle w:val="Standard"/>
        <w:spacing w:after="0" w:line="100" w:lineRule="atLeast"/>
        <w:jc w:val="both"/>
      </w:pPr>
    </w:p>
    <w:p w:rsidR="001C0ADE" w:rsidRDefault="00153500">
      <w:pPr>
        <w:pStyle w:val="Paragraphedeliste"/>
        <w:numPr>
          <w:ilvl w:val="0"/>
          <w:numId w:val="1"/>
        </w:numPr>
        <w:spacing w:after="0" w:line="100" w:lineRule="atLeast"/>
        <w:jc w:val="both"/>
      </w:pPr>
      <w:r>
        <w:rPr>
          <w:sz w:val="20"/>
          <w:szCs w:val="20"/>
        </w:rPr>
        <w:t>Préparation professionnelle : lors des périodes de formation en milieu professionnel (PFMP) en France, les enseignants donneront aux élèves une liste d’observables. Cette liste sera reprise dans un dossier à compléter lors des PFMP à l’étranger, de manière à croiser les expériences professionnelles.</w:t>
      </w:r>
    </w:p>
    <w:p w:rsidR="001C0ADE" w:rsidRDefault="00153500">
      <w:pPr>
        <w:pStyle w:val="Standard"/>
        <w:tabs>
          <w:tab w:val="left" w:pos="1418"/>
          <w:tab w:val="left" w:pos="2410"/>
        </w:tabs>
        <w:spacing w:after="0" w:line="100" w:lineRule="atLeast"/>
        <w:ind w:left="709" w:hanging="709"/>
        <w:jc w:val="both"/>
      </w:pPr>
      <w:r>
        <w:rPr>
          <w:noProof/>
          <w:lang w:eastAsia="fr-FR"/>
        </w:rPr>
        <w:drawing>
          <wp:inline distT="0" distB="0" distL="0" distR="0">
            <wp:extent cx="361950" cy="288925"/>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361950" cy="288925"/>
                    </a:xfrm>
                    <a:prstGeom prst="rect">
                      <a:avLst/>
                    </a:prstGeom>
                    <a:noFill/>
                    <a:ln w="9525">
                      <a:noFill/>
                      <a:miter lim="800000"/>
                      <a:headEnd/>
                      <a:tailEnd/>
                    </a:ln>
                  </pic:spPr>
                </pic:pic>
              </a:graphicData>
            </a:graphic>
          </wp:inline>
        </w:drawing>
      </w:r>
      <w:r>
        <w:rPr>
          <w:color w:val="FF0000"/>
          <w:sz w:val="20"/>
          <w:szCs w:val="20"/>
        </w:rPr>
        <w:t xml:space="preserve">  </w:t>
      </w:r>
      <w:r>
        <w:rPr>
          <w:sz w:val="20"/>
          <w:szCs w:val="20"/>
        </w:rPr>
        <w:t>L’analyse demandée à l’élève pour la 2</w:t>
      </w:r>
      <w:r>
        <w:rPr>
          <w:sz w:val="20"/>
          <w:szCs w:val="20"/>
          <w:vertAlign w:val="superscript"/>
        </w:rPr>
        <w:t>ème</w:t>
      </w:r>
      <w:r>
        <w:rPr>
          <w:sz w:val="20"/>
          <w:szCs w:val="20"/>
        </w:rPr>
        <w:t xml:space="preserve"> partie de l’épreuve touche tous les champs disciplinaires (enseignement professionnel et enseignement général). L’implication dans le projet concerne tous les membres de l’équipe pédagogique.</w:t>
      </w:r>
    </w:p>
    <w:p w:rsidR="001C0ADE" w:rsidRDefault="001C0ADE">
      <w:pPr>
        <w:pStyle w:val="Standard"/>
        <w:spacing w:after="0" w:line="100" w:lineRule="atLeast"/>
        <w:jc w:val="both"/>
      </w:pPr>
    </w:p>
    <w:p w:rsidR="001C0ADE" w:rsidRDefault="001C0ADE">
      <w:pPr>
        <w:pStyle w:val="Standard"/>
        <w:spacing w:after="0" w:line="100" w:lineRule="atLeast"/>
        <w:jc w:val="both"/>
      </w:pPr>
    </w:p>
    <w:p w:rsidR="001C0ADE" w:rsidRDefault="00153500">
      <w:pPr>
        <w:pStyle w:val="Standard"/>
        <w:spacing w:after="0" w:line="100" w:lineRule="atLeast"/>
        <w:jc w:val="both"/>
      </w:pPr>
      <w:r>
        <w:rPr>
          <w:b/>
          <w:sz w:val="20"/>
          <w:szCs w:val="20"/>
        </w:rPr>
        <w:t xml:space="preserve">III – </w:t>
      </w:r>
      <w:r>
        <w:rPr>
          <w:rFonts w:cs="Arial"/>
          <w:b/>
          <w:sz w:val="20"/>
          <w:szCs w:val="20"/>
        </w:rPr>
        <w:t>É</w:t>
      </w:r>
      <w:r>
        <w:rPr>
          <w:b/>
          <w:sz w:val="20"/>
          <w:szCs w:val="20"/>
        </w:rPr>
        <w:t>VALUATION</w:t>
      </w:r>
    </w:p>
    <w:p w:rsidR="001C0ADE" w:rsidRDefault="001C0ADE">
      <w:pPr>
        <w:pStyle w:val="Standard"/>
        <w:spacing w:after="0" w:line="100" w:lineRule="atLeast"/>
        <w:jc w:val="both"/>
      </w:pPr>
    </w:p>
    <w:p w:rsidR="001C0ADE" w:rsidRDefault="00153500">
      <w:pPr>
        <w:pStyle w:val="Standard"/>
        <w:tabs>
          <w:tab w:val="left" w:pos="0"/>
        </w:tabs>
        <w:spacing w:after="0" w:line="100" w:lineRule="atLeast"/>
        <w:jc w:val="both"/>
      </w:pPr>
      <w:r>
        <w:rPr>
          <w:b/>
          <w:sz w:val="20"/>
          <w:szCs w:val="20"/>
        </w:rPr>
        <w:t>A – Contexte</w:t>
      </w:r>
    </w:p>
    <w:p w:rsidR="001C0ADE" w:rsidRDefault="001C0ADE">
      <w:pPr>
        <w:pStyle w:val="Standard"/>
        <w:tabs>
          <w:tab w:val="left" w:pos="0"/>
        </w:tabs>
        <w:spacing w:after="0" w:line="100" w:lineRule="atLeast"/>
        <w:jc w:val="both"/>
      </w:pPr>
    </w:p>
    <w:p w:rsidR="001C0ADE" w:rsidRDefault="00153500">
      <w:pPr>
        <w:pStyle w:val="Paragraphedeliste"/>
        <w:numPr>
          <w:ilvl w:val="0"/>
          <w:numId w:val="1"/>
        </w:numPr>
        <w:spacing w:after="0" w:line="100" w:lineRule="atLeast"/>
        <w:jc w:val="both"/>
      </w:pPr>
      <w:r>
        <w:rPr>
          <w:sz w:val="20"/>
          <w:szCs w:val="20"/>
        </w:rPr>
        <w:t>L’épreuve est constituée de deux parties. La première partie, notée sur 8 points, se déroule à l’étranger, sur le lieu de la mobilité. La deuxième partie, notée sur 12 points, se déroule en France, au plus tard trois mois après le retour en France.</w:t>
      </w:r>
    </w:p>
    <w:p w:rsidR="001C0ADE" w:rsidRDefault="001C0ADE">
      <w:pPr>
        <w:pStyle w:val="Paragraphedeliste"/>
        <w:spacing w:after="0" w:line="100" w:lineRule="atLeast"/>
        <w:jc w:val="both"/>
      </w:pPr>
    </w:p>
    <w:p w:rsidR="001C0ADE" w:rsidRDefault="00153500">
      <w:pPr>
        <w:pStyle w:val="Paragraphedeliste"/>
        <w:numPr>
          <w:ilvl w:val="0"/>
          <w:numId w:val="1"/>
        </w:numPr>
        <w:spacing w:after="0" w:line="100" w:lineRule="atLeast"/>
        <w:jc w:val="both"/>
      </w:pPr>
      <w:r>
        <w:rPr>
          <w:sz w:val="20"/>
          <w:szCs w:val="20"/>
        </w:rPr>
        <w:t xml:space="preserve">Les compétences évaluées sont les suivantes </w:t>
      </w:r>
      <w:bookmarkStart w:id="1" w:name="__DdeLink__263_119164473"/>
      <w:r>
        <w:rPr>
          <w:sz w:val="20"/>
          <w:szCs w:val="20"/>
        </w:rPr>
        <w:t>(voir BO n°31 du 28 août 2014) </w:t>
      </w:r>
      <w:bookmarkEnd w:id="1"/>
      <w:r>
        <w:rPr>
          <w:sz w:val="20"/>
          <w:szCs w:val="20"/>
        </w:rPr>
        <w:t>:</w:t>
      </w:r>
    </w:p>
    <w:p w:rsidR="001C0ADE" w:rsidRDefault="001C0ADE">
      <w:pPr>
        <w:pStyle w:val="Paragraphedeliste"/>
        <w:spacing w:after="0" w:line="100" w:lineRule="atLeast"/>
        <w:jc w:val="both"/>
      </w:pPr>
    </w:p>
    <w:p w:rsidR="001C0ADE" w:rsidRDefault="00153500">
      <w:pPr>
        <w:pStyle w:val="Paragraphedeliste"/>
        <w:numPr>
          <w:ilvl w:val="0"/>
          <w:numId w:val="4"/>
        </w:numPr>
        <w:spacing w:after="0" w:line="100" w:lineRule="atLeast"/>
        <w:jc w:val="both"/>
      </w:pPr>
      <w:r>
        <w:rPr>
          <w:sz w:val="20"/>
          <w:szCs w:val="20"/>
        </w:rPr>
        <w:t>comprendre et se faire comprendre dans un contexte professionnel étranger.</w:t>
      </w:r>
    </w:p>
    <w:p w:rsidR="001C0ADE" w:rsidRDefault="00153500">
      <w:pPr>
        <w:pStyle w:val="Paragraphedeliste"/>
        <w:numPr>
          <w:ilvl w:val="0"/>
          <w:numId w:val="4"/>
        </w:numPr>
        <w:spacing w:after="0" w:line="100" w:lineRule="atLeast"/>
        <w:jc w:val="both"/>
      </w:pPr>
      <w:r>
        <w:rPr>
          <w:sz w:val="20"/>
          <w:szCs w:val="20"/>
        </w:rPr>
        <w:t>caractériser le contexte professionnel étranger.</w:t>
      </w:r>
    </w:p>
    <w:p w:rsidR="001C0ADE" w:rsidRDefault="00153500">
      <w:pPr>
        <w:pStyle w:val="Paragraphedeliste"/>
        <w:numPr>
          <w:ilvl w:val="0"/>
          <w:numId w:val="4"/>
        </w:numPr>
        <w:spacing w:after="0" w:line="100" w:lineRule="atLeast"/>
        <w:jc w:val="both"/>
      </w:pPr>
      <w:r>
        <w:rPr>
          <w:sz w:val="20"/>
          <w:szCs w:val="20"/>
        </w:rPr>
        <w:lastRenderedPageBreak/>
        <w:t>réaliser partiellement une activité professionnelle, sous contrôle, dans un contexte professionnel étranger.</w:t>
      </w:r>
    </w:p>
    <w:p w:rsidR="001C0ADE" w:rsidRDefault="00153500">
      <w:pPr>
        <w:pStyle w:val="Paragraphedeliste"/>
        <w:numPr>
          <w:ilvl w:val="0"/>
          <w:numId w:val="4"/>
        </w:numPr>
        <w:spacing w:after="0" w:line="100" w:lineRule="atLeast"/>
        <w:jc w:val="both"/>
      </w:pPr>
      <w:r>
        <w:rPr>
          <w:sz w:val="20"/>
          <w:szCs w:val="20"/>
        </w:rPr>
        <w:t>comparer des activités professionnelles similaires, réalisées ou observées, à l’étranger et en France.</w:t>
      </w:r>
    </w:p>
    <w:p w:rsidR="001C0ADE" w:rsidRDefault="00153500">
      <w:pPr>
        <w:pStyle w:val="Paragraphedeliste"/>
        <w:numPr>
          <w:ilvl w:val="0"/>
          <w:numId w:val="4"/>
        </w:numPr>
        <w:spacing w:after="0" w:line="100" w:lineRule="atLeast"/>
        <w:jc w:val="both"/>
      </w:pPr>
      <w:r>
        <w:rPr>
          <w:sz w:val="20"/>
          <w:szCs w:val="20"/>
        </w:rPr>
        <w:t>se repérer dans un nouvel environnement.</w:t>
      </w:r>
    </w:p>
    <w:p w:rsidR="001C0ADE" w:rsidRDefault="00153500">
      <w:pPr>
        <w:pStyle w:val="Paragraphedeliste"/>
        <w:numPr>
          <w:ilvl w:val="0"/>
          <w:numId w:val="4"/>
        </w:numPr>
        <w:spacing w:after="0" w:line="100" w:lineRule="atLeast"/>
        <w:jc w:val="both"/>
      </w:pPr>
      <w:r>
        <w:rPr>
          <w:sz w:val="20"/>
          <w:szCs w:val="20"/>
        </w:rPr>
        <w:t>identifier des caractéristiques culturelles du contexte d’accueil.</w:t>
      </w:r>
    </w:p>
    <w:p w:rsidR="001C0ADE" w:rsidRDefault="00153500">
      <w:pPr>
        <w:pStyle w:val="Paragraphedeliste"/>
        <w:tabs>
          <w:tab w:val="left" w:pos="1506"/>
        </w:tabs>
        <w:spacing w:after="0" w:line="100" w:lineRule="atLeast"/>
        <w:ind w:left="1080"/>
        <w:jc w:val="both"/>
      </w:pPr>
      <w:r>
        <w:rPr>
          <w:noProof/>
          <w:sz w:val="20"/>
          <w:szCs w:val="20"/>
          <w:lang w:eastAsia="fr-FR"/>
        </w:rPr>
        <w:drawing>
          <wp:anchor distT="0" distB="0" distL="0" distR="0" simplePos="0" relativeHeight="251659264" behindDoc="1" locked="0" layoutInCell="1" allowOverlap="1">
            <wp:simplePos x="0" y="0"/>
            <wp:positionH relativeFrom="character">
              <wp:posOffset>0</wp:posOffset>
            </wp:positionH>
            <wp:positionV relativeFrom="line">
              <wp:posOffset>0</wp:posOffset>
            </wp:positionV>
            <wp:extent cx="1527175" cy="1165860"/>
            <wp:effectExtent l="0" t="0" r="0" b="0"/>
            <wp:wrapNone/>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1527175" cy="1165860"/>
                    </a:xfrm>
                    <a:prstGeom prst="rect">
                      <a:avLst/>
                    </a:prstGeom>
                    <a:noFill/>
                    <a:ln w="9525">
                      <a:noFill/>
                      <a:miter lim="800000"/>
                      <a:headEnd/>
                      <a:tailEnd/>
                    </a:ln>
                  </pic:spPr>
                </pic:pic>
              </a:graphicData>
            </a:graphic>
          </wp:anchor>
        </w:drawing>
      </w:r>
    </w:p>
    <w:p w:rsidR="001C0ADE" w:rsidRDefault="001C0ADE">
      <w:pPr>
        <w:pStyle w:val="Paragraphedeliste"/>
        <w:spacing w:after="0" w:line="100" w:lineRule="atLeast"/>
        <w:ind w:left="1080"/>
        <w:jc w:val="both"/>
      </w:pPr>
    </w:p>
    <w:p w:rsidR="001C0ADE" w:rsidRDefault="001C0ADE">
      <w:pPr>
        <w:pStyle w:val="Paragraphedeliste"/>
        <w:spacing w:after="0" w:line="100" w:lineRule="atLeast"/>
        <w:ind w:left="1080"/>
        <w:jc w:val="both"/>
      </w:pPr>
    </w:p>
    <w:p w:rsidR="001C0ADE" w:rsidRDefault="001C0ADE">
      <w:pPr>
        <w:pStyle w:val="Paragraphedeliste"/>
        <w:spacing w:after="0" w:line="100" w:lineRule="atLeast"/>
        <w:ind w:left="1080"/>
        <w:jc w:val="both"/>
      </w:pPr>
    </w:p>
    <w:p w:rsidR="001C0ADE" w:rsidRDefault="001C0ADE">
      <w:pPr>
        <w:pStyle w:val="Paragraphedeliste"/>
        <w:spacing w:after="0" w:line="100" w:lineRule="atLeast"/>
        <w:ind w:left="1080"/>
        <w:jc w:val="both"/>
      </w:pPr>
    </w:p>
    <w:p w:rsidR="001C0ADE" w:rsidRDefault="001C0ADE">
      <w:pPr>
        <w:pStyle w:val="Paragraphedeliste"/>
        <w:spacing w:after="0" w:line="100" w:lineRule="atLeast"/>
        <w:ind w:left="1080"/>
        <w:jc w:val="both"/>
      </w:pPr>
    </w:p>
    <w:p w:rsidR="001C0ADE" w:rsidRDefault="001C0ADE">
      <w:pPr>
        <w:pStyle w:val="Paragraphedeliste"/>
        <w:spacing w:after="0" w:line="100" w:lineRule="atLeast"/>
        <w:ind w:left="1080"/>
        <w:jc w:val="both"/>
      </w:pPr>
    </w:p>
    <w:p w:rsidR="001C0ADE" w:rsidRDefault="001C0ADE">
      <w:pPr>
        <w:pStyle w:val="Paragraphedeliste"/>
        <w:spacing w:after="0" w:line="100" w:lineRule="atLeast"/>
        <w:ind w:left="1080"/>
        <w:jc w:val="both"/>
      </w:pPr>
    </w:p>
    <w:p w:rsidR="001C0ADE" w:rsidRDefault="00153500">
      <w:pPr>
        <w:pStyle w:val="Paragraphedeliste"/>
        <w:numPr>
          <w:ilvl w:val="0"/>
          <w:numId w:val="1"/>
        </w:numPr>
        <w:spacing w:after="0" w:line="100" w:lineRule="atLeast"/>
        <w:jc w:val="both"/>
      </w:pPr>
      <w:r>
        <w:rPr>
          <w:sz w:val="20"/>
          <w:szCs w:val="20"/>
        </w:rPr>
        <w:t xml:space="preserve">L’évaluation porte sur les découvertes professionnelle et culturelle en mobilité. Les aptitudes linguistiques ne sont pas l’objet d’évaluation en soi mais sont contextualisées. Ainsi, dans la première partie de l’épreuve, sont évaluées la communication au sens large dans un contexte professionnel étranger et l’aptitude à réaliser partiellement une tâche dans un contexte étranger. La seconde partie de l’épreuve se déroule en français. </w:t>
      </w:r>
    </w:p>
    <w:p w:rsidR="001C0ADE" w:rsidRDefault="001C0ADE">
      <w:pPr>
        <w:pStyle w:val="Paragraphedeliste"/>
        <w:spacing w:after="0" w:line="100" w:lineRule="atLeast"/>
        <w:jc w:val="both"/>
      </w:pPr>
    </w:p>
    <w:p w:rsidR="001C0ADE" w:rsidRDefault="00153500">
      <w:pPr>
        <w:pStyle w:val="Paragraphedeliste"/>
        <w:numPr>
          <w:ilvl w:val="0"/>
          <w:numId w:val="1"/>
        </w:numPr>
        <w:spacing w:after="0" w:line="100" w:lineRule="atLeast"/>
        <w:jc w:val="both"/>
      </w:pPr>
      <w:r>
        <w:rPr>
          <w:sz w:val="20"/>
          <w:szCs w:val="20"/>
        </w:rPr>
        <w:t>L’unité facultative s’inscrit dans une épreuve CCF et la note est sous la responsabilité du chef d’établissement qui la conserve et la transmet aux services du rectorat en temps voulu. L’épreuve peut donc être passée en classe de première.</w:t>
      </w:r>
    </w:p>
    <w:p w:rsidR="001C0ADE" w:rsidRDefault="001C0ADE">
      <w:pPr>
        <w:pStyle w:val="Standard"/>
        <w:spacing w:after="0" w:line="100" w:lineRule="atLeast"/>
        <w:jc w:val="both"/>
      </w:pPr>
    </w:p>
    <w:p w:rsidR="001C0ADE" w:rsidRDefault="00153500">
      <w:pPr>
        <w:pStyle w:val="Paragraphedeliste"/>
        <w:numPr>
          <w:ilvl w:val="0"/>
          <w:numId w:val="1"/>
        </w:numPr>
        <w:spacing w:after="0" w:line="100" w:lineRule="atLeast"/>
        <w:jc w:val="both"/>
      </w:pPr>
      <w:r>
        <w:rPr>
          <w:sz w:val="20"/>
          <w:szCs w:val="20"/>
        </w:rPr>
        <w:t>Le jury de la 2</w:t>
      </w:r>
      <w:r>
        <w:rPr>
          <w:sz w:val="20"/>
          <w:szCs w:val="20"/>
          <w:vertAlign w:val="superscript"/>
        </w:rPr>
        <w:t>ème</w:t>
      </w:r>
      <w:r>
        <w:rPr>
          <w:sz w:val="20"/>
          <w:szCs w:val="20"/>
        </w:rPr>
        <w:t xml:space="preserve"> partie de l’épreuve est composé d’un professeur d’enseignement professionnel et d’un professeur d’enseignement général, qui ne doit pas être systématiquement un linguiste. </w:t>
      </w:r>
    </w:p>
    <w:p w:rsidR="001C0ADE" w:rsidRDefault="001C0ADE">
      <w:pPr>
        <w:pStyle w:val="Standard"/>
        <w:spacing w:after="0" w:line="100" w:lineRule="atLeast"/>
        <w:jc w:val="both"/>
      </w:pPr>
    </w:p>
    <w:p w:rsidR="001C0ADE" w:rsidRDefault="001C0ADE">
      <w:pPr>
        <w:pStyle w:val="Standard"/>
        <w:tabs>
          <w:tab w:val="left" w:pos="0"/>
        </w:tabs>
        <w:spacing w:after="0" w:line="100" w:lineRule="atLeast"/>
        <w:jc w:val="both"/>
      </w:pPr>
    </w:p>
    <w:p w:rsidR="001C0ADE" w:rsidRDefault="00153500">
      <w:pPr>
        <w:pStyle w:val="Standard"/>
        <w:tabs>
          <w:tab w:val="left" w:pos="0"/>
        </w:tabs>
        <w:spacing w:after="0" w:line="100" w:lineRule="atLeast"/>
        <w:jc w:val="both"/>
      </w:pPr>
      <w:r>
        <w:rPr>
          <w:b/>
          <w:sz w:val="20"/>
          <w:szCs w:val="20"/>
        </w:rPr>
        <w:t>B - Indications pour compléter les grilles</w:t>
      </w:r>
    </w:p>
    <w:p w:rsidR="001C0ADE" w:rsidRDefault="001C0ADE">
      <w:pPr>
        <w:pStyle w:val="Standard"/>
        <w:spacing w:after="0" w:line="100" w:lineRule="atLeast"/>
        <w:jc w:val="both"/>
      </w:pPr>
    </w:p>
    <w:p w:rsidR="001C0ADE" w:rsidRDefault="00153500">
      <w:pPr>
        <w:pStyle w:val="Standard"/>
        <w:spacing w:after="0" w:line="100" w:lineRule="atLeast"/>
        <w:jc w:val="both"/>
      </w:pPr>
      <w:r>
        <w:rPr>
          <w:b/>
          <w:sz w:val="20"/>
          <w:szCs w:val="20"/>
        </w:rPr>
        <w:tab/>
        <w:t>1 – Grille de la 1</w:t>
      </w:r>
      <w:r>
        <w:rPr>
          <w:b/>
          <w:sz w:val="20"/>
          <w:szCs w:val="20"/>
          <w:vertAlign w:val="superscript"/>
        </w:rPr>
        <w:t>ère</w:t>
      </w:r>
      <w:r>
        <w:rPr>
          <w:b/>
          <w:sz w:val="20"/>
          <w:szCs w:val="20"/>
        </w:rPr>
        <w:t xml:space="preserve"> partie </w:t>
      </w:r>
      <w:r>
        <w:rPr>
          <w:sz w:val="20"/>
          <w:szCs w:val="20"/>
        </w:rPr>
        <w:t>(voir BO n°31 du 28 août 2014) </w:t>
      </w:r>
    </w:p>
    <w:p w:rsidR="001C0ADE" w:rsidRDefault="001C0ADE">
      <w:pPr>
        <w:pStyle w:val="Standard"/>
        <w:spacing w:after="0" w:line="100" w:lineRule="atLeast"/>
        <w:jc w:val="both"/>
      </w:pPr>
    </w:p>
    <w:p w:rsidR="001C0ADE" w:rsidRDefault="00153500">
      <w:pPr>
        <w:pStyle w:val="Paragraphedeliste"/>
        <w:numPr>
          <w:ilvl w:val="0"/>
          <w:numId w:val="3"/>
        </w:numPr>
        <w:spacing w:after="0" w:line="100" w:lineRule="atLeast"/>
        <w:jc w:val="both"/>
      </w:pPr>
      <w:r>
        <w:rPr>
          <w:sz w:val="20"/>
          <w:szCs w:val="20"/>
        </w:rPr>
        <w:t>Cette grille fait partie intégrante des instructions officielles, elle constitue donc un support obligatoire pour l’évaluation.</w:t>
      </w:r>
    </w:p>
    <w:p w:rsidR="001C0ADE" w:rsidRDefault="001C0ADE">
      <w:pPr>
        <w:pStyle w:val="Paragraphedeliste"/>
        <w:spacing w:after="0" w:line="100" w:lineRule="atLeast"/>
        <w:jc w:val="both"/>
      </w:pPr>
    </w:p>
    <w:p w:rsidR="001C0ADE" w:rsidRDefault="00153500">
      <w:pPr>
        <w:pStyle w:val="Paragraphedeliste"/>
        <w:numPr>
          <w:ilvl w:val="0"/>
          <w:numId w:val="3"/>
        </w:numPr>
        <w:spacing w:after="0" w:line="100" w:lineRule="atLeast"/>
        <w:jc w:val="both"/>
      </w:pPr>
      <w:r>
        <w:rPr>
          <w:sz w:val="20"/>
          <w:szCs w:val="20"/>
        </w:rPr>
        <w:t xml:space="preserve">Le représentant de l’entreprise ou de l’établissement de formation à l’étranger coche les cases « Acquis » et « Non acquis ». La mention « Observations » est à renseigner de manière très détaillée afin de faciliter l’interprétation du profil de croix. </w:t>
      </w:r>
    </w:p>
    <w:p w:rsidR="001C0ADE" w:rsidRDefault="00153500">
      <w:pPr>
        <w:pStyle w:val="Standard"/>
        <w:spacing w:after="0" w:line="100" w:lineRule="atLeast"/>
        <w:jc w:val="both"/>
      </w:pPr>
      <w:r>
        <w:rPr>
          <w:noProof/>
          <w:lang w:eastAsia="fr-FR"/>
        </w:rPr>
        <w:drawing>
          <wp:inline distT="0" distB="0" distL="0" distR="0">
            <wp:extent cx="361950" cy="288925"/>
            <wp:effectExtent l="0" t="0" r="0" b="0"/>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a:srcRect/>
                    <a:stretch>
                      <a:fillRect/>
                    </a:stretch>
                  </pic:blipFill>
                  <pic:spPr bwMode="auto">
                    <a:xfrm>
                      <a:off x="0" y="0"/>
                      <a:ext cx="361950" cy="288925"/>
                    </a:xfrm>
                    <a:prstGeom prst="rect">
                      <a:avLst/>
                    </a:prstGeom>
                    <a:noFill/>
                    <a:ln w="9525">
                      <a:noFill/>
                      <a:miter lim="800000"/>
                      <a:headEnd/>
                      <a:tailEnd/>
                    </a:ln>
                  </pic:spPr>
                </pic:pic>
              </a:graphicData>
            </a:graphic>
          </wp:inline>
        </w:drawing>
      </w:r>
      <w:r>
        <w:rPr>
          <w:sz w:val="20"/>
          <w:szCs w:val="20"/>
        </w:rPr>
        <w:t xml:space="preserve">  C’est le binôme impliqué dans l’évaluation de la 2</w:t>
      </w:r>
      <w:r>
        <w:rPr>
          <w:sz w:val="20"/>
          <w:szCs w:val="20"/>
          <w:vertAlign w:val="superscript"/>
        </w:rPr>
        <w:t>ème</w:t>
      </w:r>
      <w:r>
        <w:rPr>
          <w:sz w:val="20"/>
          <w:szCs w:val="20"/>
        </w:rPr>
        <w:t xml:space="preserve"> partie qui détermine la note de la 1</w:t>
      </w:r>
      <w:r>
        <w:rPr>
          <w:sz w:val="20"/>
          <w:szCs w:val="20"/>
          <w:vertAlign w:val="superscript"/>
        </w:rPr>
        <w:t>ère</w:t>
      </w:r>
      <w:r>
        <w:rPr>
          <w:sz w:val="20"/>
          <w:szCs w:val="20"/>
        </w:rPr>
        <w:t xml:space="preserve"> partie.</w:t>
      </w:r>
    </w:p>
    <w:p w:rsidR="001C0ADE" w:rsidRDefault="001C0ADE">
      <w:pPr>
        <w:pStyle w:val="Standard"/>
        <w:spacing w:after="0" w:line="100" w:lineRule="atLeast"/>
        <w:jc w:val="both"/>
      </w:pPr>
    </w:p>
    <w:p w:rsidR="001C0ADE" w:rsidRDefault="00153500">
      <w:pPr>
        <w:pStyle w:val="Standard"/>
        <w:tabs>
          <w:tab w:val="left" w:pos="0"/>
        </w:tabs>
        <w:spacing w:after="0" w:line="100" w:lineRule="atLeast"/>
        <w:jc w:val="both"/>
      </w:pPr>
      <w:r>
        <w:rPr>
          <w:b/>
          <w:sz w:val="20"/>
          <w:szCs w:val="20"/>
        </w:rPr>
        <w:tab/>
        <w:t>2 – Grille de la 2</w:t>
      </w:r>
      <w:r>
        <w:rPr>
          <w:b/>
          <w:sz w:val="20"/>
          <w:szCs w:val="20"/>
          <w:vertAlign w:val="superscript"/>
        </w:rPr>
        <w:t>ème</w:t>
      </w:r>
      <w:r>
        <w:rPr>
          <w:b/>
          <w:sz w:val="20"/>
          <w:szCs w:val="20"/>
        </w:rPr>
        <w:t xml:space="preserve"> partie</w:t>
      </w:r>
    </w:p>
    <w:p w:rsidR="001C0ADE" w:rsidRDefault="001C0ADE">
      <w:pPr>
        <w:pStyle w:val="Standard"/>
        <w:spacing w:after="0" w:line="100" w:lineRule="atLeast"/>
        <w:jc w:val="both"/>
      </w:pPr>
    </w:p>
    <w:p w:rsidR="001C0ADE" w:rsidRDefault="00153500">
      <w:pPr>
        <w:pStyle w:val="Paragraphedeliste"/>
        <w:numPr>
          <w:ilvl w:val="0"/>
          <w:numId w:val="1"/>
        </w:numPr>
        <w:spacing w:after="0" w:line="100" w:lineRule="atLeast"/>
        <w:jc w:val="both"/>
      </w:pPr>
      <w:r>
        <w:rPr>
          <w:sz w:val="20"/>
          <w:szCs w:val="20"/>
        </w:rPr>
        <w:t>L’évaluation de la 2</w:t>
      </w:r>
      <w:r>
        <w:rPr>
          <w:sz w:val="20"/>
          <w:szCs w:val="20"/>
          <w:vertAlign w:val="superscript"/>
        </w:rPr>
        <w:t>ème</w:t>
      </w:r>
      <w:r>
        <w:rPr>
          <w:sz w:val="20"/>
          <w:szCs w:val="20"/>
        </w:rPr>
        <w:t xml:space="preserve"> partie repose sur le </w:t>
      </w:r>
      <w:r>
        <w:rPr>
          <w:b/>
          <w:bCs/>
          <w:sz w:val="20"/>
          <w:szCs w:val="20"/>
        </w:rPr>
        <w:t xml:space="preserve">croisement </w:t>
      </w:r>
      <w:r>
        <w:rPr>
          <w:sz w:val="20"/>
          <w:szCs w:val="20"/>
        </w:rPr>
        <w:t xml:space="preserve">de 4 compétences et 3 critères. </w:t>
      </w:r>
    </w:p>
    <w:p w:rsidR="001C0ADE" w:rsidRDefault="001C0ADE">
      <w:pPr>
        <w:pStyle w:val="Paragraphedeliste"/>
        <w:spacing w:after="0" w:line="100" w:lineRule="atLeast"/>
        <w:jc w:val="both"/>
      </w:pPr>
    </w:p>
    <w:p w:rsidR="001C0ADE" w:rsidRDefault="00153500">
      <w:pPr>
        <w:pStyle w:val="Paragraphedeliste"/>
        <w:numPr>
          <w:ilvl w:val="0"/>
          <w:numId w:val="1"/>
        </w:numPr>
        <w:spacing w:after="0" w:line="100" w:lineRule="atLeast"/>
        <w:jc w:val="both"/>
      </w:pPr>
      <w:r>
        <w:rPr>
          <w:sz w:val="20"/>
          <w:szCs w:val="20"/>
        </w:rPr>
        <w:t>Pour faciliter cette évaluation, une grille académique a été élaborée. Son utilisation est préconisée.</w:t>
      </w:r>
    </w:p>
    <w:p w:rsidR="001C0ADE" w:rsidRDefault="001C0ADE">
      <w:pPr>
        <w:pStyle w:val="Paragraphedeliste"/>
        <w:spacing w:after="0" w:line="100" w:lineRule="atLeast"/>
        <w:jc w:val="both"/>
      </w:pPr>
    </w:p>
    <w:p w:rsidR="001C0ADE" w:rsidRDefault="00153500">
      <w:pPr>
        <w:pStyle w:val="Paragraphedeliste"/>
        <w:numPr>
          <w:ilvl w:val="0"/>
          <w:numId w:val="1"/>
        </w:numPr>
        <w:spacing w:after="0" w:line="100" w:lineRule="atLeast"/>
        <w:jc w:val="both"/>
      </w:pPr>
      <w:r>
        <w:rPr>
          <w:sz w:val="20"/>
          <w:szCs w:val="20"/>
        </w:rPr>
        <w:t>Utilisation de la grille : apprécier le niveau de l’élève en fonction des critères d’évaluation cités dans le BO n° 31 du 28 août 2014</w:t>
      </w:r>
    </w:p>
    <w:p w:rsidR="001C0ADE" w:rsidRDefault="001C0ADE">
      <w:pPr>
        <w:pStyle w:val="Paragraphedeliste"/>
        <w:spacing w:after="0" w:line="100" w:lineRule="atLeast"/>
        <w:jc w:val="both"/>
      </w:pPr>
    </w:p>
    <w:p w:rsidR="001C0ADE" w:rsidRDefault="00153500">
      <w:pPr>
        <w:pStyle w:val="Paragraphedeliste"/>
        <w:numPr>
          <w:ilvl w:val="0"/>
          <w:numId w:val="4"/>
        </w:numPr>
        <w:spacing w:after="0" w:line="100" w:lineRule="atLeast"/>
        <w:jc w:val="both"/>
      </w:pPr>
      <w:r>
        <w:rPr>
          <w:sz w:val="20"/>
          <w:szCs w:val="20"/>
        </w:rPr>
        <w:t>Précision de la description de l’élément d’ordre culturel et de l’environnement professionnel présentés</w:t>
      </w:r>
      <w:r>
        <w:rPr>
          <w:color w:val="FF0000"/>
          <w:sz w:val="20"/>
          <w:szCs w:val="20"/>
        </w:rPr>
        <w:t>.</w:t>
      </w:r>
    </w:p>
    <w:p w:rsidR="001C0ADE" w:rsidRDefault="00153500">
      <w:pPr>
        <w:pStyle w:val="Paragraphedeliste"/>
        <w:numPr>
          <w:ilvl w:val="0"/>
          <w:numId w:val="4"/>
        </w:numPr>
        <w:spacing w:after="0" w:line="100" w:lineRule="atLeast"/>
        <w:jc w:val="both"/>
      </w:pPr>
      <w:r>
        <w:rPr>
          <w:sz w:val="20"/>
          <w:szCs w:val="20"/>
        </w:rPr>
        <w:t>Pertinence de la comparaison entre pratiques étrangères et françaises</w:t>
      </w:r>
      <w:r>
        <w:rPr>
          <w:color w:val="FF0000"/>
          <w:sz w:val="20"/>
          <w:szCs w:val="20"/>
        </w:rPr>
        <w:t>.</w:t>
      </w:r>
    </w:p>
    <w:p w:rsidR="001C0ADE" w:rsidRDefault="00153500">
      <w:pPr>
        <w:pStyle w:val="Paragraphedeliste"/>
        <w:numPr>
          <w:ilvl w:val="0"/>
          <w:numId w:val="4"/>
        </w:numPr>
        <w:spacing w:after="0" w:line="100" w:lineRule="atLeast"/>
        <w:jc w:val="both"/>
      </w:pPr>
      <w:r>
        <w:rPr>
          <w:sz w:val="20"/>
          <w:szCs w:val="20"/>
        </w:rPr>
        <w:t>Distanciation par rapport aux situations vécues et observées à l’étranger par rapport à ses propres pratiques professionnelles et culturelles</w:t>
      </w:r>
      <w:r>
        <w:rPr>
          <w:color w:val="FF0000"/>
          <w:sz w:val="20"/>
          <w:szCs w:val="20"/>
        </w:rPr>
        <w:t>.</w:t>
      </w:r>
    </w:p>
    <w:p w:rsidR="001C0ADE" w:rsidRDefault="001C0ADE">
      <w:pPr>
        <w:pStyle w:val="Standard"/>
        <w:jc w:val="both"/>
      </w:pPr>
    </w:p>
    <w:p w:rsidR="001C0ADE" w:rsidRDefault="00153500">
      <w:pPr>
        <w:pStyle w:val="Standard"/>
        <w:pageBreakBefore/>
      </w:pPr>
      <w:r>
        <w:lastRenderedPageBreak/>
        <w:tab/>
      </w:r>
      <w:r>
        <w:tab/>
      </w:r>
      <w:r>
        <w:tab/>
      </w:r>
      <w:r>
        <w:tab/>
      </w:r>
      <w:r>
        <w:tab/>
      </w:r>
      <w:r>
        <w:tab/>
        <w:t xml:space="preserve">  NOM : </w:t>
      </w:r>
      <w:r>
        <w:tab/>
      </w:r>
      <w:r>
        <w:tab/>
      </w:r>
      <w:r>
        <w:tab/>
      </w:r>
      <w:r>
        <w:tab/>
        <w:t xml:space="preserve">   Prénom :</w:t>
      </w:r>
      <w:r>
        <w:rPr>
          <w:noProof/>
          <w:lang w:eastAsia="fr-FR"/>
        </w:rPr>
        <w:drawing>
          <wp:anchor distT="0" distB="0" distL="0" distR="0" simplePos="0" relativeHeight="251660288" behindDoc="1" locked="0" layoutInCell="1" allowOverlap="1">
            <wp:simplePos x="0" y="0"/>
            <wp:positionH relativeFrom="character">
              <wp:posOffset>0</wp:posOffset>
            </wp:positionH>
            <wp:positionV relativeFrom="line">
              <wp:posOffset>0</wp:posOffset>
            </wp:positionV>
            <wp:extent cx="1527175" cy="1165860"/>
            <wp:effectExtent l="0" t="0" r="0" b="0"/>
            <wp:wrapNone/>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1527175" cy="1165860"/>
                    </a:xfrm>
                    <a:prstGeom prst="rect">
                      <a:avLst/>
                    </a:prstGeom>
                    <a:noFill/>
                    <a:ln w="9525">
                      <a:noFill/>
                      <a:miter lim="800000"/>
                      <a:headEnd/>
                      <a:tailEnd/>
                    </a:ln>
                  </pic:spPr>
                </pic:pic>
              </a:graphicData>
            </a:graphic>
          </wp:anchor>
        </w:drawing>
      </w:r>
    </w:p>
    <w:p w:rsidR="001C0ADE" w:rsidRDefault="00153500">
      <w:pPr>
        <w:pStyle w:val="Standard"/>
        <w:tabs>
          <w:tab w:val="left" w:pos="0"/>
        </w:tabs>
        <w:jc w:val="center"/>
      </w:pPr>
      <w:r>
        <w:rPr>
          <w:b/>
          <w:sz w:val="32"/>
        </w:rPr>
        <w:t>Grille d’évaluation</w:t>
      </w:r>
    </w:p>
    <w:p w:rsidR="001C0ADE" w:rsidRDefault="00153500">
      <w:pPr>
        <w:pStyle w:val="Standard"/>
        <w:jc w:val="center"/>
      </w:pPr>
      <w:r>
        <w:rPr>
          <w:b/>
        </w:rPr>
        <w:t>2</w:t>
      </w:r>
      <w:r>
        <w:rPr>
          <w:b/>
          <w:vertAlign w:val="superscript"/>
        </w:rPr>
        <w:t>ème</w:t>
      </w:r>
      <w:r>
        <w:rPr>
          <w:b/>
        </w:rPr>
        <w:t xml:space="preserve"> partie </w:t>
      </w:r>
    </w:p>
    <w:p w:rsidR="001C0ADE" w:rsidRDefault="001C0ADE">
      <w:pPr>
        <w:pStyle w:val="Standard"/>
        <w:jc w:val="cente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226"/>
        <w:gridCol w:w="4234"/>
        <w:gridCol w:w="549"/>
        <w:gridCol w:w="552"/>
        <w:gridCol w:w="557"/>
        <w:gridCol w:w="561"/>
      </w:tblGrid>
      <w:tr w:rsidR="001C0ADE">
        <w:trPr>
          <w:trHeight w:val="460"/>
          <w:jc w:val="center"/>
        </w:trPr>
        <w:tc>
          <w:tcPr>
            <w:tcW w:w="4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spacing w:after="0" w:line="100" w:lineRule="atLeast"/>
              <w:jc w:val="center"/>
            </w:pPr>
            <w:r>
              <w:rPr>
                <w:b/>
                <w:sz w:val="28"/>
              </w:rPr>
              <w:t>Compétences</w:t>
            </w:r>
          </w:p>
        </w:tc>
        <w:tc>
          <w:tcPr>
            <w:tcW w:w="4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spacing w:after="0" w:line="100" w:lineRule="atLeast"/>
              <w:jc w:val="center"/>
            </w:pPr>
            <w:r>
              <w:rPr>
                <w:b/>
                <w:sz w:val="28"/>
              </w:rPr>
              <w:t>Capacités</w:t>
            </w:r>
          </w:p>
        </w:tc>
        <w:tc>
          <w:tcPr>
            <w:tcW w:w="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jc w:val="center"/>
            </w:pPr>
            <w:r>
              <w:rPr>
                <w:b/>
                <w:sz w:val="28"/>
              </w:rPr>
              <w:t>- -</w:t>
            </w:r>
          </w:p>
        </w:tc>
        <w:tc>
          <w:tcPr>
            <w:tcW w:w="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jc w:val="center"/>
            </w:pPr>
            <w:r>
              <w:rPr>
                <w:b/>
                <w:sz w:val="28"/>
              </w:rPr>
              <w:t>-</w:t>
            </w:r>
          </w:p>
        </w:tc>
        <w:tc>
          <w:tcPr>
            <w:tcW w:w="5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jc w:val="center"/>
            </w:pPr>
            <w:r>
              <w:rPr>
                <w:b/>
                <w:sz w:val="28"/>
              </w:rPr>
              <w:t>+</w:t>
            </w: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jc w:val="center"/>
            </w:pPr>
            <w:r>
              <w:rPr>
                <w:b/>
                <w:sz w:val="28"/>
              </w:rPr>
              <w:t>++</w:t>
            </w:r>
          </w:p>
        </w:tc>
      </w:tr>
      <w:tr w:rsidR="001C0ADE">
        <w:trPr>
          <w:jc w:val="center"/>
        </w:trPr>
        <w:tc>
          <w:tcPr>
            <w:tcW w:w="1779" w:type="dxa"/>
            <w:gridSpan w:val="6"/>
            <w:tcBorders>
              <w:top w:val="single" w:sz="4" w:space="0" w:color="00000A"/>
              <w:left w:val="single" w:sz="4" w:space="0" w:color="00000A"/>
              <w:bottom w:val="single" w:sz="4" w:space="0" w:color="00000A"/>
              <w:right w:val="single" w:sz="4" w:space="0" w:color="00000A"/>
            </w:tcBorders>
            <w:shd w:val="clear" w:color="auto" w:fill="DDD9C3"/>
            <w:tcMar>
              <w:top w:w="0" w:type="dxa"/>
              <w:left w:w="10" w:type="dxa"/>
              <w:bottom w:w="0" w:type="dxa"/>
              <w:right w:w="10" w:type="dxa"/>
            </w:tcMar>
          </w:tcPr>
          <w:p w:rsidR="001C0ADE" w:rsidRDefault="00153500">
            <w:pPr>
              <w:pStyle w:val="Standard"/>
              <w:spacing w:after="0" w:line="100" w:lineRule="atLeast"/>
            </w:pPr>
            <w:r>
              <w:rPr>
                <w:b/>
              </w:rPr>
              <w:t>Découverte professionnelle en mobilité</w:t>
            </w:r>
          </w:p>
        </w:tc>
      </w:tr>
      <w:tr w:rsidR="001C0ADE">
        <w:trPr>
          <w:trHeight w:val="2268"/>
          <w:jc w:val="center"/>
        </w:trPr>
        <w:tc>
          <w:tcPr>
            <w:tcW w:w="4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spacing w:after="0" w:line="100" w:lineRule="atLeast"/>
            </w:pPr>
            <w:r>
              <w:rPr>
                <w:b/>
              </w:rPr>
              <w:t>C2</w:t>
            </w:r>
          </w:p>
          <w:p w:rsidR="001C0ADE" w:rsidRDefault="00153500">
            <w:pPr>
              <w:pStyle w:val="Standard"/>
              <w:spacing w:after="0" w:line="100" w:lineRule="atLeast"/>
            </w:pPr>
            <w:r>
              <w:rPr>
                <w:b/>
              </w:rPr>
              <w:t>Caractériser le contexte professionnel étranger</w:t>
            </w:r>
          </w:p>
        </w:tc>
        <w:tc>
          <w:tcPr>
            <w:tcW w:w="4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spacing w:after="0" w:line="100" w:lineRule="atLeast"/>
              <w:ind w:left="134" w:hanging="134"/>
            </w:pPr>
          </w:p>
          <w:p w:rsidR="001C0ADE" w:rsidRDefault="00153500">
            <w:pPr>
              <w:pStyle w:val="Standard"/>
              <w:spacing w:after="0" w:line="100" w:lineRule="atLeast"/>
              <w:ind w:left="134" w:hanging="134"/>
            </w:pPr>
            <w:r>
              <w:t>- Décrire la structure d’accueil</w:t>
            </w:r>
          </w:p>
          <w:p w:rsidR="001C0ADE" w:rsidRDefault="001C0ADE">
            <w:pPr>
              <w:pStyle w:val="Standard"/>
              <w:spacing w:after="0" w:line="100" w:lineRule="atLeast"/>
            </w:pPr>
          </w:p>
          <w:p w:rsidR="001C0ADE" w:rsidRDefault="00153500">
            <w:pPr>
              <w:pStyle w:val="Standard"/>
              <w:spacing w:after="0" w:line="100" w:lineRule="atLeast"/>
              <w:ind w:left="134" w:hanging="134"/>
            </w:pPr>
            <w:r>
              <w:t>- Décrire les règles de fonctionnement de la structure</w:t>
            </w:r>
          </w:p>
          <w:p w:rsidR="001C0ADE" w:rsidRDefault="001C0ADE">
            <w:pPr>
              <w:pStyle w:val="Standard"/>
              <w:spacing w:after="0" w:line="100" w:lineRule="atLeast"/>
              <w:ind w:left="134" w:hanging="134"/>
            </w:pPr>
          </w:p>
          <w:p w:rsidR="001C0ADE" w:rsidRDefault="00153500">
            <w:pPr>
              <w:pStyle w:val="Standard"/>
              <w:spacing w:after="0" w:line="100" w:lineRule="atLeast"/>
              <w:ind w:left="134" w:hanging="134"/>
            </w:pPr>
            <w:r>
              <w:t>- Situer précisément le service dans lequel le candidat a été accueilli</w:t>
            </w:r>
          </w:p>
          <w:p w:rsidR="001C0ADE" w:rsidRDefault="001C0ADE">
            <w:pPr>
              <w:pStyle w:val="Standard"/>
              <w:spacing w:after="0" w:line="100" w:lineRule="atLeast"/>
            </w:pPr>
          </w:p>
          <w:p w:rsidR="001C0ADE" w:rsidRDefault="00153500">
            <w:pPr>
              <w:pStyle w:val="Standard"/>
              <w:spacing w:after="0" w:line="100" w:lineRule="atLeast"/>
              <w:ind w:left="134" w:hanging="134"/>
            </w:pPr>
            <w:r>
              <w:t>- Identifier les partenaires internes et externes de la structure</w:t>
            </w:r>
          </w:p>
          <w:p w:rsidR="001C0ADE" w:rsidRDefault="001C0ADE">
            <w:pPr>
              <w:pStyle w:val="Standard"/>
              <w:spacing w:after="0" w:line="100" w:lineRule="atLeast"/>
              <w:ind w:left="134" w:hanging="134"/>
            </w:pPr>
          </w:p>
        </w:tc>
        <w:tc>
          <w:tcPr>
            <w:tcW w:w="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r>
      <w:tr w:rsidR="001C0ADE">
        <w:trPr>
          <w:trHeight w:val="1804"/>
          <w:jc w:val="center"/>
        </w:trPr>
        <w:tc>
          <w:tcPr>
            <w:tcW w:w="4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spacing w:after="0" w:line="100" w:lineRule="atLeast"/>
            </w:pPr>
            <w:r>
              <w:rPr>
                <w:b/>
              </w:rPr>
              <w:t>C4</w:t>
            </w:r>
          </w:p>
          <w:p w:rsidR="001C0ADE" w:rsidRDefault="00153500">
            <w:pPr>
              <w:pStyle w:val="Standard"/>
              <w:spacing w:after="0" w:line="100" w:lineRule="atLeast"/>
            </w:pPr>
            <w:r>
              <w:rPr>
                <w:b/>
              </w:rPr>
              <w:t>Comparer des activités professionnelles similaires, réalisées ou observées, à l’étranger et en France</w:t>
            </w:r>
          </w:p>
        </w:tc>
        <w:tc>
          <w:tcPr>
            <w:tcW w:w="4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spacing w:after="0" w:line="100" w:lineRule="atLeast"/>
              <w:ind w:left="136" w:hanging="136"/>
            </w:pPr>
            <w:r>
              <w:t>- Décrire une activité réalisée ou observée dans un contexte étranger (identifier les similitudes et différences entre l’étranger et la France)</w:t>
            </w:r>
          </w:p>
        </w:tc>
        <w:tc>
          <w:tcPr>
            <w:tcW w:w="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r>
      <w:tr w:rsidR="001C0ADE">
        <w:trPr>
          <w:jc w:val="center"/>
        </w:trPr>
        <w:tc>
          <w:tcPr>
            <w:tcW w:w="1779" w:type="dxa"/>
            <w:gridSpan w:val="6"/>
            <w:tcBorders>
              <w:top w:val="single" w:sz="4" w:space="0" w:color="00000A"/>
              <w:left w:val="single" w:sz="4" w:space="0" w:color="00000A"/>
              <w:bottom w:val="single" w:sz="4" w:space="0" w:color="00000A"/>
              <w:right w:val="single" w:sz="4" w:space="0" w:color="00000A"/>
            </w:tcBorders>
            <w:shd w:val="clear" w:color="auto" w:fill="DDD9C3"/>
            <w:tcMar>
              <w:top w:w="0" w:type="dxa"/>
              <w:left w:w="10" w:type="dxa"/>
              <w:bottom w:w="0" w:type="dxa"/>
              <w:right w:w="10" w:type="dxa"/>
            </w:tcMar>
          </w:tcPr>
          <w:p w:rsidR="001C0ADE" w:rsidRDefault="00153500">
            <w:pPr>
              <w:pStyle w:val="Standard"/>
              <w:spacing w:after="0" w:line="100" w:lineRule="atLeast"/>
            </w:pPr>
            <w:r>
              <w:rPr>
                <w:b/>
              </w:rPr>
              <w:t>Découverte culturelle en mobilité</w:t>
            </w:r>
          </w:p>
        </w:tc>
      </w:tr>
      <w:tr w:rsidR="001C0ADE">
        <w:trPr>
          <w:trHeight w:val="1752"/>
          <w:jc w:val="center"/>
        </w:trPr>
        <w:tc>
          <w:tcPr>
            <w:tcW w:w="4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spacing w:after="0" w:line="100" w:lineRule="atLeast"/>
            </w:pPr>
            <w:r>
              <w:rPr>
                <w:b/>
              </w:rPr>
              <w:t>C5</w:t>
            </w:r>
          </w:p>
          <w:p w:rsidR="001C0ADE" w:rsidRDefault="00153500">
            <w:pPr>
              <w:pStyle w:val="Standard"/>
              <w:spacing w:after="0" w:line="100" w:lineRule="atLeast"/>
            </w:pPr>
            <w:r>
              <w:rPr>
                <w:b/>
              </w:rPr>
              <w:t>Se repérer dans un nouvel environnement</w:t>
            </w:r>
          </w:p>
          <w:p w:rsidR="001C0ADE" w:rsidRDefault="001C0ADE">
            <w:pPr>
              <w:pStyle w:val="Standard"/>
              <w:spacing w:after="0" w:line="100" w:lineRule="atLeast"/>
            </w:pPr>
          </w:p>
        </w:tc>
        <w:tc>
          <w:tcPr>
            <w:tcW w:w="4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spacing w:after="0" w:line="100" w:lineRule="atLeast"/>
              <w:ind w:left="134" w:hanging="134"/>
            </w:pPr>
            <w:r>
              <w:t>- Situer spatialement la structure d’accueil par rapport à des repères</w:t>
            </w:r>
          </w:p>
          <w:p w:rsidR="001C0ADE" w:rsidRDefault="001C0ADE">
            <w:pPr>
              <w:pStyle w:val="Standard"/>
              <w:spacing w:after="0" w:line="100" w:lineRule="atLeast"/>
            </w:pPr>
          </w:p>
          <w:p w:rsidR="001C0ADE" w:rsidRDefault="00153500">
            <w:pPr>
              <w:pStyle w:val="Standard"/>
              <w:spacing w:after="0" w:line="100" w:lineRule="atLeast"/>
              <w:ind w:left="134" w:hanging="134"/>
            </w:pPr>
            <w:r>
              <w:t>- Caractériser l’espace dans lequel s’inscrit la structure d’accueil</w:t>
            </w:r>
          </w:p>
        </w:tc>
        <w:tc>
          <w:tcPr>
            <w:tcW w:w="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r>
      <w:tr w:rsidR="001C0ADE">
        <w:trPr>
          <w:trHeight w:val="848"/>
          <w:jc w:val="center"/>
        </w:trPr>
        <w:tc>
          <w:tcPr>
            <w:tcW w:w="4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53500">
            <w:pPr>
              <w:pStyle w:val="Standard"/>
              <w:spacing w:after="0" w:line="100" w:lineRule="atLeast"/>
            </w:pPr>
            <w:r>
              <w:rPr>
                <w:b/>
              </w:rPr>
              <w:t>C6</w:t>
            </w:r>
          </w:p>
          <w:p w:rsidR="001C0ADE" w:rsidRDefault="00153500">
            <w:pPr>
              <w:pStyle w:val="Standard"/>
              <w:spacing w:after="0" w:line="100" w:lineRule="atLeast"/>
            </w:pPr>
            <w:r>
              <w:rPr>
                <w:b/>
              </w:rPr>
              <w:t>Identifier des caractéristiques culturelles du contexte d’accueil</w:t>
            </w:r>
          </w:p>
        </w:tc>
        <w:tc>
          <w:tcPr>
            <w:tcW w:w="4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spacing w:after="0" w:line="100" w:lineRule="atLeast"/>
            </w:pPr>
          </w:p>
          <w:p w:rsidR="001C0ADE" w:rsidRDefault="00153500">
            <w:pPr>
              <w:pStyle w:val="Standard"/>
              <w:spacing w:after="0" w:line="100" w:lineRule="atLeast"/>
              <w:ind w:left="134" w:hanging="134"/>
            </w:pPr>
            <w:r>
              <w:t>- Identifier, dans le contexte étranger des caractéristiques d’ordre culturel</w:t>
            </w:r>
          </w:p>
          <w:p w:rsidR="001C0ADE" w:rsidRDefault="001C0ADE">
            <w:pPr>
              <w:pStyle w:val="Standard"/>
              <w:spacing w:after="0" w:line="100" w:lineRule="atLeast"/>
            </w:pPr>
          </w:p>
          <w:p w:rsidR="001C0ADE" w:rsidRDefault="00153500">
            <w:pPr>
              <w:pStyle w:val="Standard"/>
              <w:spacing w:after="0" w:line="100" w:lineRule="atLeast"/>
              <w:ind w:left="134" w:hanging="134"/>
            </w:pPr>
            <w:r>
              <w:t>- Présenter un élément /fait d’ordre culturel observé</w:t>
            </w:r>
          </w:p>
          <w:p w:rsidR="001C0ADE" w:rsidRDefault="001C0ADE">
            <w:pPr>
              <w:pStyle w:val="Standard"/>
              <w:spacing w:after="0" w:line="100" w:lineRule="atLeast"/>
            </w:pPr>
          </w:p>
          <w:p w:rsidR="001C0ADE" w:rsidRDefault="00153500">
            <w:pPr>
              <w:pStyle w:val="Standard"/>
              <w:spacing w:after="0" w:line="100" w:lineRule="atLeast"/>
              <w:ind w:left="134" w:hanging="134"/>
            </w:pPr>
            <w:r>
              <w:t xml:space="preserve">- Présenter un élément/fait d’actualité, </w:t>
            </w:r>
            <w:proofErr w:type="gramStart"/>
            <w:r>
              <w:t>local ou national</w:t>
            </w:r>
            <w:proofErr w:type="gramEnd"/>
            <w:r>
              <w:t>, survenu pendant le séjour</w:t>
            </w:r>
          </w:p>
          <w:p w:rsidR="001C0ADE" w:rsidRDefault="001C0ADE">
            <w:pPr>
              <w:pStyle w:val="Standard"/>
              <w:spacing w:after="0" w:line="100" w:lineRule="atLeast"/>
            </w:pPr>
          </w:p>
        </w:tc>
        <w:tc>
          <w:tcPr>
            <w:tcW w:w="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c>
          <w:tcPr>
            <w:tcW w:w="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C0ADE" w:rsidRDefault="001C0ADE">
            <w:pPr>
              <w:pStyle w:val="Standard"/>
            </w:pPr>
          </w:p>
        </w:tc>
      </w:tr>
    </w:tbl>
    <w:p w:rsidR="001C0ADE" w:rsidRDefault="001C0ADE">
      <w:pPr>
        <w:pStyle w:val="Standard"/>
        <w:spacing w:after="0" w:line="100" w:lineRule="atLeast"/>
      </w:pPr>
    </w:p>
    <w:p w:rsidR="001C0ADE" w:rsidRDefault="00153500">
      <w:pPr>
        <w:pStyle w:val="Standard"/>
        <w:spacing w:after="0" w:line="100" w:lineRule="atLeast"/>
        <w:ind w:left="-284"/>
      </w:pPr>
      <w:r>
        <w:t xml:space="preserve"> OBSERVATIONS :</w:t>
      </w:r>
    </w:p>
    <w:p w:rsidR="001C0ADE" w:rsidRDefault="001C0ADE">
      <w:pPr>
        <w:pStyle w:val="Standard"/>
      </w:pPr>
    </w:p>
    <w:p w:rsidR="001C0ADE" w:rsidRDefault="001C0ADE">
      <w:pPr>
        <w:pStyle w:val="Standard"/>
      </w:pPr>
    </w:p>
    <w:p w:rsidR="001C0ADE" w:rsidRDefault="001C0ADE">
      <w:pPr>
        <w:pStyle w:val="Standard"/>
        <w:spacing w:after="0" w:line="100" w:lineRule="atLeast"/>
        <w:ind w:left="-284"/>
      </w:pPr>
    </w:p>
    <w:p w:rsidR="001C0ADE" w:rsidRDefault="001C0ADE">
      <w:pPr>
        <w:pStyle w:val="Standard"/>
        <w:spacing w:after="0" w:line="100" w:lineRule="atLeast"/>
        <w:ind w:left="-284"/>
      </w:pPr>
    </w:p>
    <w:p w:rsidR="001C0ADE" w:rsidRDefault="00153500">
      <w:pPr>
        <w:pStyle w:val="Standard"/>
        <w:spacing w:after="0" w:line="100" w:lineRule="atLeast"/>
        <w:ind w:left="-284"/>
      </w:pPr>
      <w:r>
        <w:t xml:space="preserve"> SIGNATURES DES INTERROGATEURS :</w:t>
      </w:r>
    </w:p>
    <w:sectPr w:rsidR="001C0ADE">
      <w:headerReference w:type="default" r:id="rId11"/>
      <w:pgSz w:w="11906" w:h="16838"/>
      <w:pgMar w:top="1383" w:right="566" w:bottom="284" w:left="42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00" w:rsidRDefault="00153500">
      <w:pPr>
        <w:spacing w:after="0" w:line="240" w:lineRule="auto"/>
      </w:pPr>
      <w:r>
        <w:separator/>
      </w:r>
    </w:p>
  </w:endnote>
  <w:endnote w:type="continuationSeparator" w:id="0">
    <w:p w:rsidR="00153500" w:rsidRDefault="0015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00" w:rsidRDefault="00153500">
      <w:pPr>
        <w:spacing w:after="0" w:line="240" w:lineRule="auto"/>
      </w:pPr>
      <w:r>
        <w:separator/>
      </w:r>
    </w:p>
  </w:footnote>
  <w:footnote w:type="continuationSeparator" w:id="0">
    <w:p w:rsidR="00153500" w:rsidRDefault="00153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DE" w:rsidRDefault="00153500">
    <w:pPr>
      <w:pStyle w:val="En-tte"/>
      <w:jc w:val="center"/>
    </w:pPr>
    <w:r>
      <w:rPr>
        <w:noProof/>
        <w:lang w:eastAsia="fr-FR"/>
      </w:rPr>
      <w:drawing>
        <wp:anchor distT="0" distB="0" distL="0" distR="0" simplePos="0" relativeHeight="251658240" behindDoc="1" locked="0" layoutInCell="1" allowOverlap="1">
          <wp:simplePos x="0" y="0"/>
          <wp:positionH relativeFrom="character">
            <wp:posOffset>0</wp:posOffset>
          </wp:positionH>
          <wp:positionV relativeFrom="line">
            <wp:posOffset>0</wp:posOffset>
          </wp:positionV>
          <wp:extent cx="1081405" cy="631825"/>
          <wp:effectExtent l="0" t="0" r="0" b="0"/>
          <wp:wrapNone/>
          <wp:docPr id="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1081405" cy="631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355"/>
    <w:multiLevelType w:val="multilevel"/>
    <w:tmpl w:val="241454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DBA2F02"/>
    <w:multiLevelType w:val="multilevel"/>
    <w:tmpl w:val="3E7A61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EDF2EEF"/>
    <w:multiLevelType w:val="multilevel"/>
    <w:tmpl w:val="68002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E0624A7"/>
    <w:multiLevelType w:val="multilevel"/>
    <w:tmpl w:val="CAC6BE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86F1BFA"/>
    <w:multiLevelType w:val="multilevel"/>
    <w:tmpl w:val="D5F805BC"/>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DE"/>
    <w:rsid w:val="00153500"/>
    <w:rsid w:val="001C0ADE"/>
    <w:rsid w:val="001F3128"/>
    <w:rsid w:val="00575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9"/>
      </w:tabs>
      <w:suppressAutoHyphens/>
    </w:pPr>
    <w:rPr>
      <w:rFonts w:ascii="Arial" w:eastAsia="SimSun" w:hAnsi="Arial"/>
      <w:sz w:val="24"/>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Arial"/>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Arial"/>
    </w:rPr>
  </w:style>
  <w:style w:type="paragraph" w:styleId="Titre">
    <w:name w:val="Title"/>
    <w:basedOn w:val="Standard"/>
    <w:next w:val="Corpsdetexte"/>
    <w:pPr>
      <w:keepNext/>
      <w:spacing w:before="240" w:after="120"/>
    </w:pPr>
    <w:rPr>
      <w:rFonts w:eastAsia="Microsoft YaHei"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itreprincipal">
    <w:name w:val="Titre principal"/>
    <w:basedOn w:val="Standard"/>
    <w:next w:val="Sous-titre"/>
    <w:pPr>
      <w:keepNext/>
      <w:spacing w:before="240" w:after="120"/>
      <w:jc w:val="center"/>
    </w:pPr>
    <w:rPr>
      <w:rFonts w:eastAsia="Microsoft YaHei" w:cs="Mangal"/>
      <w:b/>
      <w:bCs/>
      <w:sz w:val="28"/>
      <w:szCs w:val="28"/>
    </w:rPr>
  </w:style>
  <w:style w:type="paragraph" w:styleId="Sous-titre">
    <w:name w:val="Subtitle"/>
    <w:basedOn w:val="Titre"/>
    <w:next w:val="Corpsdetexte"/>
    <w:pPr>
      <w:jc w:val="center"/>
    </w:pPr>
    <w:rPr>
      <w:i/>
      <w:iCs/>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pPr>
      <w:suppressLineNumbers/>
      <w:tabs>
        <w:tab w:val="center" w:pos="4536"/>
        <w:tab w:val="right" w:pos="9072"/>
      </w:tabs>
      <w:spacing w:after="0" w:line="1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9"/>
      </w:tabs>
      <w:suppressAutoHyphens/>
    </w:pPr>
    <w:rPr>
      <w:rFonts w:ascii="Arial" w:eastAsia="SimSun" w:hAnsi="Arial"/>
      <w:sz w:val="24"/>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Arial"/>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Arial"/>
    </w:rPr>
  </w:style>
  <w:style w:type="paragraph" w:styleId="Titre">
    <w:name w:val="Title"/>
    <w:basedOn w:val="Standard"/>
    <w:next w:val="Corpsdetexte"/>
    <w:pPr>
      <w:keepNext/>
      <w:spacing w:before="240" w:after="120"/>
    </w:pPr>
    <w:rPr>
      <w:rFonts w:eastAsia="Microsoft YaHei"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itreprincipal">
    <w:name w:val="Titre principal"/>
    <w:basedOn w:val="Standard"/>
    <w:next w:val="Sous-titre"/>
    <w:pPr>
      <w:keepNext/>
      <w:spacing w:before="240" w:after="120"/>
      <w:jc w:val="center"/>
    </w:pPr>
    <w:rPr>
      <w:rFonts w:eastAsia="Microsoft YaHei" w:cs="Mangal"/>
      <w:b/>
      <w:bCs/>
      <w:sz w:val="28"/>
      <w:szCs w:val="28"/>
    </w:rPr>
  </w:style>
  <w:style w:type="paragraph" w:styleId="Sous-titre">
    <w:name w:val="Subtitle"/>
    <w:basedOn w:val="Titre"/>
    <w:next w:val="Corpsdetexte"/>
    <w:pPr>
      <w:jc w:val="center"/>
    </w:pPr>
    <w:rPr>
      <w:i/>
      <w:iCs/>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pPr>
      <w:suppressLineNumbers/>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Martin</dc:creator>
  <cp:lastModifiedBy>swaeneps</cp:lastModifiedBy>
  <cp:revision>2</cp:revision>
  <cp:lastPrinted>2014-09-25T12:33:00Z</cp:lastPrinted>
  <dcterms:created xsi:type="dcterms:W3CDTF">2015-03-27T11:05:00Z</dcterms:created>
  <dcterms:modified xsi:type="dcterms:W3CDTF">2015-03-27T11:05:00Z</dcterms:modified>
</cp:coreProperties>
</file>